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429"/>
        <w:gridCol w:w="1278"/>
        <w:gridCol w:w="1247"/>
        <w:gridCol w:w="3334"/>
      </w:tblGrid>
      <w:tr w:rsidR="009E480F" w:rsidRPr="009E480F" w:rsidTr="00F973F9">
        <w:tc>
          <w:tcPr>
            <w:tcW w:w="3429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  <w:drawing>
                <wp:inline distT="0" distB="0" distL="0" distR="0">
                  <wp:extent cx="2038350" cy="619125"/>
                  <wp:effectExtent l="0" t="0" r="0" b="9525"/>
                  <wp:docPr id="3" name="Εικόνα 3" descr="HPEIRO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EIRO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lang w:eastAsia="el-GR"/>
              </w:rPr>
              <w:drawing>
                <wp:inline distT="0" distB="0" distL="0" distR="0">
                  <wp:extent cx="838200" cy="847725"/>
                  <wp:effectExtent l="0" t="0" r="0" b="9525"/>
                  <wp:docPr id="2" name="Εικόνα 2" descr="Lead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d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  <w:drawing>
                <wp:inline distT="0" distB="0" distL="0" distR="0">
                  <wp:extent cx="952500" cy="838200"/>
                  <wp:effectExtent l="0" t="0" r="0" b="0"/>
                  <wp:docPr id="1" name="Εικόνα 1" descr="newP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P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80F" w:rsidRPr="009E480F" w:rsidTr="00F973F9">
        <w:tc>
          <w:tcPr>
            <w:tcW w:w="3429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</w:pP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ΑΞΟΝΑΣ 4:  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ΠΡΟΣΕΓΓΙΣΗ LEADER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ΠΡΟΓΡΑΜΜΑ 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ΑΓΡΟΤΙΚΗ ΑΝΑΠΤΥΞΗ ΤΗΣ ΕΛΛΑΔΑΣ 2007-2013</w:t>
            </w:r>
          </w:p>
        </w:tc>
      </w:tr>
      <w:tr w:rsidR="009E480F" w:rsidRPr="009E480F" w:rsidTr="00F973F9">
        <w:tc>
          <w:tcPr>
            <w:tcW w:w="4707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</w:pPr>
          </w:p>
        </w:tc>
      </w:tr>
      <w:tr w:rsidR="009E480F" w:rsidRPr="009E480F" w:rsidTr="00F973F9">
        <w:tc>
          <w:tcPr>
            <w:tcW w:w="4707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9E480F">
              <w:rPr>
                <w:rFonts w:ascii="Times New Roman" w:eastAsia="Times New Roman" w:hAnsi="Times New Roman" w:cs="Times New Roman"/>
                <w:sz w:val="24"/>
                <w:lang w:eastAsia="el-GR"/>
              </w:rPr>
              <w:object w:dxaOrig="2295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2.75pt" o:ole="">
                  <v:imagedata r:id="rId8" o:title=""/>
                </v:shape>
                <o:OLEObject Type="Embed" ProgID="MSPhotoEd.3" ShapeID="_x0000_i1025" DrawAspect="Content" ObjectID="_1456221523" r:id="rId9"/>
              </w:objec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9E480F">
              <w:rPr>
                <w:rFonts w:ascii="Times New Roman" w:eastAsia="Times New Roman" w:hAnsi="Times New Roman" w:cs="Times New Roman"/>
                <w:sz w:val="24"/>
                <w:lang w:eastAsia="el-GR"/>
              </w:rPr>
              <w:object w:dxaOrig="1620" w:dyaOrig="1560">
                <v:shape id="_x0000_i1026" type="#_x0000_t75" style="width:54pt;height:44.25pt" o:ole="">
                  <v:imagedata r:id="rId10" o:title=""/>
                </v:shape>
                <o:OLEObject Type="Embed" ProgID="MSPhotoEd.3" ShapeID="_x0000_i1026" DrawAspect="Content" ObjectID="_1456221524" r:id="rId11"/>
              </w:object>
            </w:r>
          </w:p>
        </w:tc>
      </w:tr>
      <w:tr w:rsidR="009E480F" w:rsidRPr="009E480F" w:rsidTr="00F973F9">
        <w:tc>
          <w:tcPr>
            <w:tcW w:w="4707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ΕΛΛΗΝΙΚΗ ΔΗΜΟΚΡΑΤΙΑ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ΥΠΟΥΡΓΕΙΟ ΑΓΡΟΤΙΚΗΣ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ΑΝΑΠΤΥΞΗΣ &amp; ΤΡΟΦΙΜΩΝ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ΕΥΡΩΠΑΪΚΟ ΓΕΩΡΓΙΚΟ ΤΑΜΕΙΟ</w:t>
            </w:r>
          </w:p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ΑΓΡΟΤΙΚΗΣ ΑΝΑΠΤΥΞΗΣ</w:t>
            </w:r>
          </w:p>
        </w:tc>
      </w:tr>
    </w:tbl>
    <w:p w:rsidR="009E480F" w:rsidRPr="00207670" w:rsidRDefault="009E480F" w:rsidP="00913739">
      <w:pPr>
        <w:jc w:val="both"/>
        <w:rPr>
          <w:b/>
          <w:sz w:val="24"/>
          <w:szCs w:val="24"/>
        </w:rPr>
      </w:pPr>
    </w:p>
    <w:p w:rsidR="009E480F" w:rsidRPr="00207670" w:rsidRDefault="009E480F" w:rsidP="00913739">
      <w:pPr>
        <w:jc w:val="both"/>
        <w:rPr>
          <w:b/>
          <w:sz w:val="24"/>
          <w:szCs w:val="24"/>
        </w:rPr>
      </w:pPr>
    </w:p>
    <w:p w:rsidR="00445BD1" w:rsidRPr="00207670" w:rsidRDefault="0098060F" w:rsidP="00445BD1">
      <w:pPr>
        <w:spacing w:after="0" w:line="360" w:lineRule="auto"/>
        <w:jc w:val="center"/>
        <w:rPr>
          <w:b/>
          <w:sz w:val="24"/>
          <w:szCs w:val="24"/>
        </w:rPr>
      </w:pPr>
      <w:r w:rsidRPr="0098060F">
        <w:rPr>
          <w:b/>
          <w:sz w:val="24"/>
          <w:szCs w:val="24"/>
        </w:rPr>
        <w:t>ΕΡΩΤΗΣΕΙΣ – ΑΠΑΝΤΗΣΕΙΣ ΕΠΙΛΕΞΙΜΟΤΗΤΑΣ ΕΠΕΝΔΥΤΙΚΩΝ ΣΧΕΔΙΩΝ</w:t>
      </w:r>
    </w:p>
    <w:p w:rsidR="0098060F" w:rsidRPr="0098060F" w:rsidRDefault="0098060F" w:rsidP="00445BD1">
      <w:pPr>
        <w:spacing w:after="0" w:line="360" w:lineRule="auto"/>
        <w:jc w:val="center"/>
        <w:rPr>
          <w:b/>
          <w:sz w:val="24"/>
          <w:szCs w:val="24"/>
        </w:rPr>
      </w:pPr>
      <w:r w:rsidRPr="0098060F">
        <w:rPr>
          <w:b/>
          <w:sz w:val="24"/>
          <w:szCs w:val="24"/>
        </w:rPr>
        <w:t xml:space="preserve">3ης ΠΡΟΣΚΛΗΣΗΣ ΕΚΔΗΛΩΣΗΣ ΕΝΔΙΑΦΕΡΟΝΤΟΣ ΤΟΠΙΚΟΥ ΠΡΟΓΡΑΜΜΑΤΟΣ «ΠΡΟΣΕΓΓΙΣΗ </w:t>
      </w:r>
      <w:r w:rsidRPr="0098060F">
        <w:rPr>
          <w:b/>
          <w:sz w:val="24"/>
          <w:szCs w:val="24"/>
          <w:lang w:val="en-US"/>
        </w:rPr>
        <w:t>LEADER</w:t>
      </w:r>
      <w:r w:rsidRPr="0098060F">
        <w:rPr>
          <w:b/>
          <w:sz w:val="24"/>
          <w:szCs w:val="24"/>
        </w:rPr>
        <w:t>»</w:t>
      </w:r>
    </w:p>
    <w:p w:rsidR="003C7FAF" w:rsidRPr="005A2469" w:rsidRDefault="00FF0C0C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5A2469">
        <w:rPr>
          <w:b/>
        </w:rPr>
        <w:t>Συνεταιρισμός μπορεί να υποβάλει πρόταση για μεταποιητική μονάδα οπωροκηπευτικών;</w:t>
      </w:r>
    </w:p>
    <w:p w:rsidR="0098060F" w:rsidRPr="0098060F" w:rsidRDefault="0098060F" w:rsidP="00913739">
      <w:pPr>
        <w:ind w:left="360"/>
        <w:jc w:val="both"/>
      </w:pPr>
      <w:r w:rsidRPr="0098060F">
        <w:rPr>
          <w:u w:val="single"/>
        </w:rPr>
        <w:t>ΑΠΑΝΤΗΣΗ</w:t>
      </w:r>
      <w:r w:rsidRPr="0098060F">
        <w:t xml:space="preserve">: ναι μπορεί </w:t>
      </w:r>
      <w:r>
        <w:t xml:space="preserve">εφόσον είναι αναγνωρισμένος συνεταιρισμός </w:t>
      </w:r>
      <w:r w:rsidRPr="0098060F">
        <w:t xml:space="preserve">στα πλαίσια της δράσης </w:t>
      </w:r>
      <w:r w:rsidRPr="0098060F">
        <w:rPr>
          <w:lang w:val="en-US"/>
        </w:rPr>
        <w:t>L</w:t>
      </w:r>
      <w:r w:rsidRPr="0098060F">
        <w:t xml:space="preserve">123α τομέας 9 </w:t>
      </w:r>
      <w:r>
        <w:t>–</w:t>
      </w:r>
      <w:r w:rsidRPr="0098060F">
        <w:t xml:space="preserve"> οπωροκηπευτικά</w:t>
      </w:r>
      <w:r w:rsidR="00913739">
        <w:t xml:space="preserve"> </w:t>
      </w:r>
      <w:r w:rsidR="00913739" w:rsidRPr="00913739">
        <w:t xml:space="preserve">. </w:t>
      </w:r>
      <w:r w:rsidR="008C17BA">
        <w:t>Σ</w:t>
      </w:r>
      <w:bookmarkStart w:id="0" w:name="_GoBack"/>
      <w:bookmarkEnd w:id="0"/>
      <w:r w:rsidR="008C17BA">
        <w:t>την περίπτωση που</w:t>
      </w:r>
      <w:r>
        <w:t xml:space="preserve"> ο συνεταιρισμός αποτελεί και ομάδα παραγωγών ή υπάρχει ομάδα παραγωγών στον συνεταιρισμό και η ομάδα παραγωγών είναι αναγνωρισμένη ή </w:t>
      </w:r>
      <w:proofErr w:type="spellStart"/>
      <w:r>
        <w:t>προαναγνωρισμένη</w:t>
      </w:r>
      <w:proofErr w:type="spellEnd"/>
      <w:r>
        <w:t xml:space="preserve"> από τη Δ/</w:t>
      </w:r>
      <w:proofErr w:type="spellStart"/>
      <w:r>
        <w:t>νση</w:t>
      </w:r>
      <w:proofErr w:type="spellEnd"/>
      <w:r>
        <w:t xml:space="preserve"> ΠΑΠ </w:t>
      </w:r>
      <w:proofErr w:type="spellStart"/>
      <w:r>
        <w:t>Δεντροκηπευτικής</w:t>
      </w:r>
      <w:proofErr w:type="spellEnd"/>
      <w:r>
        <w:t xml:space="preserve"> τότε θα πρέπει να ελεγχθεί εάν έχει ενταχθεί στα τριετή επιχειρησιακά προγράμματα της Δ/</w:t>
      </w:r>
      <w:proofErr w:type="spellStart"/>
      <w:r>
        <w:t>νσης</w:t>
      </w:r>
      <w:proofErr w:type="spellEnd"/>
      <w:r>
        <w:t xml:space="preserve"> </w:t>
      </w:r>
      <w:proofErr w:type="spellStart"/>
      <w:r>
        <w:t>Δεντροκηπευτικής</w:t>
      </w:r>
      <w:proofErr w:type="spellEnd"/>
      <w:r>
        <w:t>.</w:t>
      </w:r>
    </w:p>
    <w:p w:rsidR="00FF0C0C" w:rsidRPr="005A2469" w:rsidRDefault="00FF0C0C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5A2469">
        <w:rPr>
          <w:b/>
        </w:rPr>
        <w:t>Σύλλογοι και ΜΚΟ μπορεί να είναι δικαιούχοι του τοπικού προγράμματος με περισσότερα από ένα έργα;</w:t>
      </w:r>
    </w:p>
    <w:p w:rsidR="0098060F" w:rsidRDefault="00EB6B98" w:rsidP="00913739">
      <w:pPr>
        <w:ind w:left="360"/>
        <w:jc w:val="both"/>
      </w:pPr>
      <w:r w:rsidRPr="00EB6B98">
        <w:rPr>
          <w:u w:val="single"/>
        </w:rPr>
        <w:t>ΑΠΑΝΤΗΣΗ</w:t>
      </w:r>
      <w:r>
        <w:t>: ναι μπορούν.</w:t>
      </w:r>
    </w:p>
    <w:p w:rsidR="00FF0C0C" w:rsidRPr="005A2469" w:rsidRDefault="00FF0C0C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5A2469">
        <w:rPr>
          <w:b/>
        </w:rPr>
        <w:t xml:space="preserve">Νομικό πρόσωπο δημοσίου δικαίου (νομικό πρόσωπο ΟΤΑ) </w:t>
      </w:r>
      <w:r w:rsidR="00FB39BB" w:rsidRPr="005A2469">
        <w:rPr>
          <w:b/>
        </w:rPr>
        <w:t xml:space="preserve">ή ΟΤΑ </w:t>
      </w:r>
      <w:r w:rsidRPr="005A2469">
        <w:rPr>
          <w:b/>
        </w:rPr>
        <w:t xml:space="preserve">μπορεί να υποβάλει πρόταση για εκσυγχρονισμό </w:t>
      </w:r>
      <w:r w:rsidR="00FB39BB" w:rsidRPr="005A2469">
        <w:rPr>
          <w:b/>
        </w:rPr>
        <w:t xml:space="preserve">ή κατασκευή </w:t>
      </w:r>
      <w:r w:rsidRPr="005A2469">
        <w:rPr>
          <w:b/>
        </w:rPr>
        <w:t>παιδικού σταθμού</w:t>
      </w:r>
      <w:r w:rsidR="00FB39BB" w:rsidRPr="005A2469">
        <w:rPr>
          <w:b/>
        </w:rPr>
        <w:t>,</w:t>
      </w:r>
      <w:r w:rsidRPr="005A2469">
        <w:rPr>
          <w:b/>
        </w:rPr>
        <w:t xml:space="preserve"> </w:t>
      </w:r>
      <w:r w:rsidR="00FB39BB" w:rsidRPr="005A2469">
        <w:rPr>
          <w:b/>
        </w:rPr>
        <w:t xml:space="preserve">ίδρυση </w:t>
      </w:r>
      <w:r w:rsidRPr="005A2469">
        <w:rPr>
          <w:b/>
        </w:rPr>
        <w:t>ανακαίνιση γυμναστηρίου</w:t>
      </w:r>
      <w:r w:rsidR="00FB39BB" w:rsidRPr="005A2469">
        <w:rPr>
          <w:b/>
        </w:rPr>
        <w:t xml:space="preserve"> και ίδρυση ή εκσυγχρονισμό ωδείου</w:t>
      </w:r>
      <w:r w:rsidRPr="005A2469">
        <w:rPr>
          <w:b/>
        </w:rPr>
        <w:t xml:space="preserve">; </w:t>
      </w:r>
    </w:p>
    <w:p w:rsidR="00FB39BB" w:rsidRPr="00FB39BB" w:rsidRDefault="00FB39BB" w:rsidP="00913739">
      <w:pPr>
        <w:ind w:left="360"/>
        <w:jc w:val="both"/>
      </w:pPr>
      <w:r w:rsidRPr="00FB39BB">
        <w:rPr>
          <w:u w:val="single"/>
        </w:rPr>
        <w:t>ΑΠΑΝΤΗΣΗ</w:t>
      </w:r>
      <w:r>
        <w:t xml:space="preserve">: Στα πλαίσια της δράσης </w:t>
      </w:r>
      <w:r>
        <w:rPr>
          <w:lang w:val="en-US"/>
        </w:rPr>
        <w:t>L</w:t>
      </w:r>
      <w:r>
        <w:t xml:space="preserve">321-2 είναι επιλέξιμη ενέργεια μόνο η ίδρυση ή ο εκσυγχρονισμός ωδείου. Προσοχή πρέπει να δοθεί στα στοιχεία ιδιοκτησιακού καθεστώτος </w:t>
      </w:r>
      <w:r w:rsidR="004E09FD">
        <w:t>και στον καταστατικό σκοπό του νομικού προσώπου.</w:t>
      </w:r>
    </w:p>
    <w:p w:rsidR="00F112BF" w:rsidRPr="005A2469" w:rsidRDefault="00FF0C0C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5A2469">
        <w:rPr>
          <w:b/>
        </w:rPr>
        <w:t xml:space="preserve">Κατά την </w:t>
      </w:r>
      <w:proofErr w:type="spellStart"/>
      <w:r w:rsidRPr="005A2469">
        <w:rPr>
          <w:b/>
        </w:rPr>
        <w:t>επικαιροποίηση</w:t>
      </w:r>
      <w:proofErr w:type="spellEnd"/>
      <w:r w:rsidRPr="005A2469">
        <w:rPr>
          <w:b/>
        </w:rPr>
        <w:t xml:space="preserve"> μελέτης ΟΤΑ σύμφ</w:t>
      </w:r>
      <w:r w:rsidR="00E32933" w:rsidRPr="005A2469">
        <w:rPr>
          <w:b/>
        </w:rPr>
        <w:t xml:space="preserve">ωνα με τις νέες τιμές εργασιών </w:t>
      </w:r>
      <w:r w:rsidRPr="005A2469">
        <w:rPr>
          <w:b/>
        </w:rPr>
        <w:t xml:space="preserve">ο </w:t>
      </w:r>
      <w:r w:rsidR="00F60C37" w:rsidRPr="005A2469">
        <w:rPr>
          <w:b/>
        </w:rPr>
        <w:t>προϋπολογισμός</w:t>
      </w:r>
      <w:r w:rsidRPr="005A2469">
        <w:rPr>
          <w:b/>
        </w:rPr>
        <w:t xml:space="preserve"> μειώνεται. Π.χ. από 100.000 ευρώ που ήταν αρχικά και σύμφωνα και με την απόφαση ένταξης μετά την </w:t>
      </w:r>
      <w:proofErr w:type="spellStart"/>
      <w:r w:rsidRPr="005A2469">
        <w:rPr>
          <w:b/>
        </w:rPr>
        <w:t>επικαιροποίηση</w:t>
      </w:r>
      <w:proofErr w:type="spellEnd"/>
      <w:r w:rsidRPr="005A2469">
        <w:rPr>
          <w:b/>
        </w:rPr>
        <w:t xml:space="preserve"> πηγαίνει στις 70.000 ευρώ.</w:t>
      </w:r>
      <w:r w:rsidR="00D43CB7" w:rsidRPr="005A2469">
        <w:rPr>
          <w:b/>
        </w:rPr>
        <w:t xml:space="preserve"> </w:t>
      </w:r>
      <w:r w:rsidRPr="005A2469">
        <w:rPr>
          <w:b/>
        </w:rPr>
        <w:t xml:space="preserve">Μπορεί να αυξηθούν οι ποσότητες των εργασιών </w:t>
      </w:r>
      <w:r w:rsidR="00F60C37" w:rsidRPr="005A2469">
        <w:rPr>
          <w:b/>
        </w:rPr>
        <w:t xml:space="preserve">(π.χ. πλακόστρωτο) </w:t>
      </w:r>
      <w:r w:rsidRPr="005A2469">
        <w:rPr>
          <w:b/>
        </w:rPr>
        <w:t xml:space="preserve">ή να </w:t>
      </w:r>
      <w:r w:rsidRPr="005A2469">
        <w:rPr>
          <w:b/>
        </w:rPr>
        <w:lastRenderedPageBreak/>
        <w:t>προστεθούν και ν</w:t>
      </w:r>
      <w:r w:rsidR="00D43CB7" w:rsidRPr="005A2469">
        <w:rPr>
          <w:b/>
        </w:rPr>
        <w:t xml:space="preserve">έες </w:t>
      </w:r>
      <w:r w:rsidR="00F60C37" w:rsidRPr="005A2469">
        <w:rPr>
          <w:b/>
        </w:rPr>
        <w:t>εργασίες</w:t>
      </w:r>
      <w:r w:rsidR="00D43CB7" w:rsidRPr="005A2469">
        <w:rPr>
          <w:b/>
        </w:rPr>
        <w:t xml:space="preserve"> </w:t>
      </w:r>
      <w:r w:rsidR="00F60C37" w:rsidRPr="005A2469">
        <w:rPr>
          <w:b/>
        </w:rPr>
        <w:t xml:space="preserve">εφόσον συντρέχει λόγος </w:t>
      </w:r>
      <w:r w:rsidR="00D43CB7" w:rsidRPr="005A2469">
        <w:rPr>
          <w:b/>
        </w:rPr>
        <w:t xml:space="preserve">και μέχρι το ποσό των </w:t>
      </w:r>
      <w:r w:rsidR="00AA418C" w:rsidRPr="005A2469">
        <w:rPr>
          <w:b/>
        </w:rPr>
        <w:t>100.000 ευρώ;</w:t>
      </w:r>
    </w:p>
    <w:p w:rsidR="00E32933" w:rsidRDefault="00E32933" w:rsidP="00913739">
      <w:pPr>
        <w:ind w:left="360"/>
        <w:jc w:val="both"/>
      </w:pPr>
      <w:r w:rsidRPr="00E32933">
        <w:rPr>
          <w:u w:val="single"/>
        </w:rPr>
        <w:t>ΑΠΑΝΤΗΣΗ</w:t>
      </w:r>
      <w:r>
        <w:t xml:space="preserve">: κατά την </w:t>
      </w:r>
      <w:proofErr w:type="spellStart"/>
      <w:r>
        <w:t>επικαιροποίηση</w:t>
      </w:r>
      <w:proofErr w:type="spellEnd"/>
      <w:r>
        <w:t xml:space="preserve"> μελετών απαγορεύεται η τροποποίηση του φυσικού αντικειμένου του ενταγμένου έργου. </w:t>
      </w:r>
      <w:r w:rsidRPr="00E32933">
        <w:t xml:space="preserve">Δεν μπορεί να δικαιολογηθεί οποιαδήποτε αύξηση του εγκεκριμένου προϋπολογισμού του έργου. Εξαιρείται η περίπτωση που αυτό ανακύπτει από σχετικές κανονιστικές ρυθμίσεις όπως αύξηση συντελεστών ΦΠΑ, αύξηση τιμολογίων των δημοσίων έργων, με την επιφύλαξη του ανωτάτου συνολικού κόστους ανά δράση της </w:t>
      </w:r>
      <w:r>
        <w:t xml:space="preserve">ΚΥΑ 401/2010 όπως αυτή ισχύει. </w:t>
      </w:r>
      <w:r w:rsidRPr="00E32933">
        <w:t>Οποιαδήποτε άλλη αύξηση του κόστους βαρύνει αποκλ</w:t>
      </w:r>
      <w:r>
        <w:t xml:space="preserve">ειστικά και μόνο το δικαιούχο. </w:t>
      </w:r>
    </w:p>
    <w:p w:rsidR="00F112BF" w:rsidRPr="005A2469" w:rsidRDefault="00F112BF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5A2469">
        <w:rPr>
          <w:b/>
        </w:rPr>
        <w:t>Επιχειρήσεις εναλλακτικών μορφών τουρισμού χρειάζονται κάποια άδεια λειτουργίας;</w:t>
      </w:r>
      <w:r w:rsidR="00402E74" w:rsidRPr="005A2469">
        <w:rPr>
          <w:b/>
        </w:rPr>
        <w:t xml:space="preserve"> </w:t>
      </w:r>
      <w:r w:rsidR="00BA5342" w:rsidRPr="005A2469">
        <w:rPr>
          <w:b/>
        </w:rPr>
        <w:t xml:space="preserve">Πως εξασφαλίζεται η νομιμότητα λειτουργίας τους; </w:t>
      </w:r>
      <w:r w:rsidR="00402E74" w:rsidRPr="005A2469">
        <w:rPr>
          <w:b/>
        </w:rPr>
        <w:t xml:space="preserve">Κυρίως επιχειρήσεις που ασχολούνται με δραστηριότητες περιπέτειας και </w:t>
      </w:r>
      <w:r w:rsidR="00402E74" w:rsidRPr="005A2469">
        <w:rPr>
          <w:b/>
          <w:lang w:val="en-US"/>
        </w:rPr>
        <w:t>extreme</w:t>
      </w:r>
      <w:r w:rsidR="00402E74" w:rsidRPr="005A2469">
        <w:rPr>
          <w:b/>
        </w:rPr>
        <w:t xml:space="preserve"> </w:t>
      </w:r>
      <w:r w:rsidR="00402E74" w:rsidRPr="005A2469">
        <w:rPr>
          <w:b/>
          <w:lang w:val="en-US"/>
        </w:rPr>
        <w:t>sports</w:t>
      </w:r>
      <w:r w:rsidR="00402E74" w:rsidRPr="005A2469">
        <w:rPr>
          <w:b/>
        </w:rPr>
        <w:t xml:space="preserve"> όπως αναρρίχηση, παρά πέντε, </w:t>
      </w:r>
      <w:proofErr w:type="spellStart"/>
      <w:r w:rsidR="00402E74" w:rsidRPr="005A2469">
        <w:rPr>
          <w:b/>
        </w:rPr>
        <w:t>κανόε</w:t>
      </w:r>
      <w:proofErr w:type="spellEnd"/>
      <w:r w:rsidR="00402E74" w:rsidRPr="005A2469">
        <w:rPr>
          <w:b/>
        </w:rPr>
        <w:t>-καγιάκ κλπ.</w:t>
      </w:r>
    </w:p>
    <w:p w:rsidR="00E32933" w:rsidRDefault="00E32933" w:rsidP="00913739">
      <w:pPr>
        <w:ind w:left="360"/>
        <w:jc w:val="both"/>
      </w:pPr>
      <w:r w:rsidRPr="00AA418C">
        <w:rPr>
          <w:u w:val="single"/>
        </w:rPr>
        <w:t>ΑΠΑΝΤΗΣΗ</w:t>
      </w:r>
      <w:r>
        <w:t xml:space="preserve">: έως σήμερα δεν έχει οριστικοποιηθεί το νομικό πλαίσιο λειτουργίας </w:t>
      </w:r>
      <w:r w:rsidR="00F244B9">
        <w:t>των εν λόγω επιχειρήσεων. Σε κάθε περίπτωση θα πρέπει να υπάρχει ανάλογη έναρξη στη Δ.Ο.Υ.</w:t>
      </w:r>
      <w:r w:rsidR="00AA418C">
        <w:t xml:space="preserve"> ενώ θα προκρίνονται με υψηλότερη βαθμολογία από την ΟΤΔ όσες επιχειρήσεις έχουν άδεια τουριστικού γραφείου.</w:t>
      </w:r>
    </w:p>
    <w:p w:rsidR="00F112BF" w:rsidRPr="005A2469" w:rsidRDefault="00F112BF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5A2469">
        <w:rPr>
          <w:b/>
        </w:rPr>
        <w:t>Πως κρίνετ</w:t>
      </w:r>
      <w:r w:rsidR="001110F2" w:rsidRPr="005A2469">
        <w:rPr>
          <w:b/>
        </w:rPr>
        <w:t>αι</w:t>
      </w:r>
      <w:r w:rsidRPr="005A2469">
        <w:rPr>
          <w:b/>
        </w:rPr>
        <w:t xml:space="preserve"> η επάρκεια γάλακτος στην ίδρυση τυροκομείου; Υπάρχει ελάχιστη </w:t>
      </w:r>
      <w:r w:rsidR="00D21D4D" w:rsidRPr="005A2469">
        <w:rPr>
          <w:b/>
        </w:rPr>
        <w:t xml:space="preserve">απαιτούμενη </w:t>
      </w:r>
      <w:r w:rsidRPr="005A2469">
        <w:rPr>
          <w:b/>
        </w:rPr>
        <w:t>ποσότητα γάλακτος</w:t>
      </w:r>
      <w:r w:rsidR="00D21D4D" w:rsidRPr="005A2469">
        <w:rPr>
          <w:b/>
        </w:rPr>
        <w:t>; Απατούνται κατά την υποβολή του φακέλου υποψηφιότητας συμβόλαια με κτηνοτρόφους;</w:t>
      </w:r>
      <w:r w:rsidRPr="005A2469">
        <w:rPr>
          <w:b/>
        </w:rPr>
        <w:t xml:space="preserve"> </w:t>
      </w:r>
    </w:p>
    <w:p w:rsidR="00AA418C" w:rsidRDefault="00AA418C" w:rsidP="00913739">
      <w:pPr>
        <w:ind w:left="360"/>
        <w:jc w:val="both"/>
      </w:pPr>
      <w:r w:rsidRPr="005A2469">
        <w:rPr>
          <w:u w:val="single"/>
        </w:rPr>
        <w:t>ΑΠΑΝΤΗΣΗ</w:t>
      </w:r>
      <w:r>
        <w:t xml:space="preserve">: η επάρκεια γάλακτος </w:t>
      </w:r>
      <w:r w:rsidR="00913739">
        <w:t>κρίνεται</w:t>
      </w:r>
      <w:r w:rsidR="00321129">
        <w:t xml:space="preserve"> βάσει της ποσότητας γάλακτος που παράγεται σε σχέση με την ποσότητα γάλακτος που </w:t>
      </w:r>
      <w:r w:rsidR="005A2469">
        <w:t xml:space="preserve">μεταποιείται. </w:t>
      </w:r>
      <w:r w:rsidR="00350BF0" w:rsidRPr="00350BF0">
        <w:t xml:space="preserve">Ως ελλειμματικότητα μεταποιητικής υποδομής θεωρείται η ύπαρξη πλεονάζουσας πρώτης ύλης, σε σχέση με την εγκατεστημένη μεταποιητική δραστηριότητα σε επίπεδο </w:t>
      </w:r>
      <w:r w:rsidR="00350BF0">
        <w:t>Περιφερειακής Ενότητας</w:t>
      </w:r>
      <w:r w:rsidR="00350BF0" w:rsidRPr="00350BF0">
        <w:t xml:space="preserve"> ή Περιφέρειας</w:t>
      </w:r>
      <w:r w:rsidR="00350BF0">
        <w:t>.</w:t>
      </w:r>
      <w:r w:rsidR="00350BF0" w:rsidRPr="00350BF0">
        <w:t xml:space="preserve"> </w:t>
      </w:r>
      <w:r w:rsidR="005A2469">
        <w:t xml:space="preserve">Η σύγκριση γίνεται είτε σε επίπεδο </w:t>
      </w:r>
      <w:r w:rsidR="00913739">
        <w:t>Περιφερειακής Ε</w:t>
      </w:r>
      <w:r w:rsidR="005A2469">
        <w:t>νότητας είτε</w:t>
      </w:r>
      <w:r w:rsidR="00913739">
        <w:t xml:space="preserve"> σε επίπεδο Π</w:t>
      </w:r>
      <w:r w:rsidR="005A2469">
        <w:t>εριφέρειας ανάλογα αν το γάλα για το</w:t>
      </w:r>
      <w:r w:rsidR="00913739">
        <w:t xml:space="preserve"> τυροκομείο προέρχεται από την Περιφερειακή Ε</w:t>
      </w:r>
      <w:r w:rsidR="005A2469">
        <w:t>νότητα που γί</w:t>
      </w:r>
      <w:r w:rsidR="00913739">
        <w:t>νεται η επένδυση ή από όλη την Π</w:t>
      </w:r>
      <w:r w:rsidR="005A2469">
        <w:t xml:space="preserve">εριφέρεια. Για την απόδειξη της επάρκειας του γάλακτος απαιτούνται </w:t>
      </w:r>
      <w:r w:rsidR="00350BF0">
        <w:t xml:space="preserve">επικυρωμένα </w:t>
      </w:r>
      <w:r w:rsidR="005A2469">
        <w:t>συμβόλαια με κτηνοτρόφους στα οποία θα αναφέρεται η ποσότητα γάλακτος</w:t>
      </w:r>
      <w:r w:rsidR="00913739">
        <w:t>,</w:t>
      </w:r>
      <w:r w:rsidR="005A2469">
        <w:t xml:space="preserve"> εκτός της περίπτωσης που ο υποψήφιος επενδυτής είναι ο ίδιος κτηνοτρόφος και προχωρά στην καθετοποίηση της μονάδας του</w:t>
      </w:r>
      <w:r w:rsidR="00913739">
        <w:t>,</w:t>
      </w:r>
      <w:r w:rsidR="00350BF0">
        <w:t xml:space="preserve"> οπότε </w:t>
      </w:r>
      <w:r w:rsidR="00350BF0" w:rsidRPr="00350BF0">
        <w:t>η ύπαρξη της πρώτης ύλης τεκμηριώνεται από τα στοιχεία της Δ/</w:t>
      </w:r>
      <w:proofErr w:type="spellStart"/>
      <w:r w:rsidR="00350BF0" w:rsidRPr="00350BF0">
        <w:t>νσης</w:t>
      </w:r>
      <w:proofErr w:type="spellEnd"/>
      <w:r w:rsidR="00350BF0" w:rsidRPr="00350BF0">
        <w:t xml:space="preserve"> Αγροτικής Οικονομίας και Κτηνιατρικής της Περιφερειακής Ενότητας ή άλλης αρμόδιας δημόσιας αρχής</w:t>
      </w:r>
      <w:r w:rsidR="005A2469">
        <w:t>. Σε κάθε περίπτωση τα στοιχεία που υποβάλλονται ελέγχονται και διασταυρώνονται ύστερα από έλεγχο της ΟΤΔ της ΗΠΕΙΡΟΣ ΑΕ.</w:t>
      </w:r>
      <w:r w:rsidR="009A2BC1">
        <w:t xml:space="preserve"> Η επάρκεια γάλακτος διαπιστώνεται από αντίστοιχο έγγραφο της Δ/</w:t>
      </w:r>
      <w:proofErr w:type="spellStart"/>
      <w:r w:rsidR="009A2BC1">
        <w:t>νσης</w:t>
      </w:r>
      <w:proofErr w:type="spellEnd"/>
      <w:r w:rsidR="009A2BC1">
        <w:t xml:space="preserve"> Αγροτικής Ανάπτυξης της Περιφέρειας ή του </w:t>
      </w:r>
      <w:r w:rsidR="009A2BC1" w:rsidRPr="009A2BC1">
        <w:t>ΕΛΓΟ Δήμητρα</w:t>
      </w:r>
      <w:r w:rsidR="009A2BC1">
        <w:t xml:space="preserve"> το οποίο θα βρίσκεται στο φάκελο υποψηφιότητας. Ελάχιστη απαιτούμενη ποσότητα γάλακτος για την ίδρυση τυροκομείου δεν υπάρχει αλλά εξετάζονται τα στοιχεία της μελέτης βιωσιμότητας που αποτελεί αναπόσπαστο κομμάτι του φακέλου υποψηφιότητας.</w:t>
      </w:r>
    </w:p>
    <w:p w:rsidR="00D21D4D" w:rsidRPr="00334E13" w:rsidRDefault="00D21D4D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334E13">
        <w:rPr>
          <w:b/>
        </w:rPr>
        <w:t xml:space="preserve">Ίδρυση </w:t>
      </w:r>
      <w:r w:rsidRPr="00334E13">
        <w:rPr>
          <w:b/>
          <w:lang w:val="en-US"/>
        </w:rPr>
        <w:t>silos</w:t>
      </w:r>
      <w:r w:rsidRPr="00334E13">
        <w:rPr>
          <w:b/>
        </w:rPr>
        <w:t xml:space="preserve"> και αποθηκευτικού χώρου δημητριακών σε επιλέξιμη περιοχή  δίπλα από τη Εγνατία οδό είναι επιλέξιμη δράση; Ο υποψήφιος επενδυτής δεν είναι παραγωγός αλλά θα προμηθεύεται από παραγωγούς όλης της Ελλάδας την πρώτη ύλη και στην συνέχεια θα την πουλάει</w:t>
      </w:r>
      <w:r w:rsidR="00913739">
        <w:rPr>
          <w:b/>
        </w:rPr>
        <w:t xml:space="preserve">. </w:t>
      </w:r>
      <w:r w:rsidR="001110F2" w:rsidRPr="00334E13">
        <w:rPr>
          <w:b/>
        </w:rPr>
        <w:t>Πως κατατάσσεται μια περιοχή ως ορεινή;</w:t>
      </w:r>
    </w:p>
    <w:p w:rsidR="00350BF0" w:rsidRDefault="00F521B8" w:rsidP="00913739">
      <w:pPr>
        <w:ind w:left="360"/>
        <w:jc w:val="both"/>
      </w:pPr>
      <w:r w:rsidRPr="00F521B8">
        <w:rPr>
          <w:u w:val="single"/>
        </w:rPr>
        <w:t>ΑΠΑΝΤΗΣΗ</w:t>
      </w:r>
      <w:r>
        <w:t xml:space="preserve">: </w:t>
      </w:r>
      <w:r w:rsidR="00CA2679">
        <w:t>για τη</w:t>
      </w:r>
      <w:r w:rsidR="00CA2679" w:rsidRPr="00CA2679">
        <w:t xml:space="preserve"> </w:t>
      </w:r>
      <w:r w:rsidR="00CA2679">
        <w:t xml:space="preserve">δράση 6.8. τομέας δημητριακά της </w:t>
      </w:r>
      <w:r w:rsidR="00CA2679">
        <w:rPr>
          <w:lang w:val="en-US"/>
        </w:rPr>
        <w:t>L</w:t>
      </w:r>
      <w:r w:rsidR="00CA2679">
        <w:t xml:space="preserve">123α η ίδρυση </w:t>
      </w:r>
      <w:r w:rsidR="00CA2679">
        <w:rPr>
          <w:lang w:val="en-US"/>
        </w:rPr>
        <w:t>silos</w:t>
      </w:r>
      <w:r w:rsidR="00CA2679" w:rsidRPr="00CA2679">
        <w:t xml:space="preserve"> </w:t>
      </w:r>
      <w:r w:rsidR="00CA2679">
        <w:t xml:space="preserve">επιτρέπεται σε κόμβους διαμετακομιστικών κέντρων. </w:t>
      </w:r>
      <w:r w:rsidR="00350BF0">
        <w:t>Ω</w:t>
      </w:r>
      <w:r w:rsidR="00350BF0" w:rsidRPr="00350BF0">
        <w:t>ς κόμβοι σύγχρονων διαμετακομιστικών κέντρων θεωρούνται όσοι προβλέπονται στο Ν. 3333/05 ή στο Γενικό Χωροταξικό ή στα δύο κλαδικά Τουρισμού &amp; ΑΠΕ και Βιομηχανίας ή στα Γ.Π.Σ. Περιοχών ή ΣΧΟΑΠ ή με την έκδοση μελέτης και οικοδομικής άδειας ή όπως ορισθούν στο Χωροταξικό για τις μεταφορές ή άλλη διάταξη.</w:t>
      </w:r>
      <w:r w:rsidR="00350BF0">
        <w:t xml:space="preserve"> </w:t>
      </w:r>
    </w:p>
    <w:p w:rsidR="00F521B8" w:rsidRDefault="00350BF0" w:rsidP="00913739">
      <w:pPr>
        <w:ind w:left="360"/>
        <w:jc w:val="both"/>
      </w:pPr>
      <w:r>
        <w:t>Στη</w:t>
      </w:r>
      <w:r w:rsidR="00626760">
        <w:t xml:space="preserve"> </w:t>
      </w:r>
      <w:r w:rsidRPr="00350BF0">
        <w:t xml:space="preserve">δράση L123α Τομέας 6: Δημητριακά, στη Δράση 6.8: «Ίδρυση οριζόντιων αποθηκών σε νησιωτικές ή ορεινές περιοχές» αυτού, ως ορεινές περιοχές ορίζονται αυτές που αναγράφονται στο τεύχος της </w:t>
      </w:r>
      <w:r>
        <w:t>3</w:t>
      </w:r>
      <w:r w:rsidRPr="00350BF0">
        <w:t>ης πρόσκλησης εκδήλωσης ενδιαφέροντος, παρ. 1.4, στο πεδίο «χαρακτηρισμός δημοτικού/κοινοτικού διαμερίσματος»</w:t>
      </w:r>
      <w:r>
        <w:t xml:space="preserve"> οπότε σε αυτές επιτρέπεται  η ίδρυση των οριζό</w:t>
      </w:r>
      <w:r w:rsidR="00626760">
        <w:t>ντιων αποθηκών</w:t>
      </w:r>
      <w:r>
        <w:t xml:space="preserve"> με την προϋπόθεση </w:t>
      </w:r>
      <w:r w:rsidR="00626760">
        <w:t xml:space="preserve">ότι αποτελούν μέρος μεταποιητικής δραστηριότητας δηλαδή φαίνεται μεταποίηση – επεξεργασία ή συσκευασία των δημητριακών με αντίστοιχο μεταποιητικό ΚΑΔ της επιχείρησης. Δεν ενισχύεται η παροχή υπηρεσιών. </w:t>
      </w:r>
    </w:p>
    <w:p w:rsidR="00626760" w:rsidRPr="00CA2679" w:rsidRDefault="00626760" w:rsidP="00913739">
      <w:pPr>
        <w:ind w:left="360"/>
        <w:jc w:val="both"/>
      </w:pPr>
      <w:r>
        <w:t xml:space="preserve">Στη </w:t>
      </w:r>
      <w:r w:rsidRPr="00626760">
        <w:t xml:space="preserve">δράση L123α Τομέας 6: Δημητριακά, στις Δράσεις 6.1 και 6.2 επιτρέπεται ο εκσυγχρονισμός των κάθετων αποθηκευτικών χώρων ή των οριζόντιων παλαιών αποθηκών σε ολόκληρη την περιοχή παρέμβασης, εφόσον </w:t>
      </w:r>
      <w:r>
        <w:t>εξασφαλίζεται η νομιμότητά τους και εφόσον αποτελούν μέρος μεταποιητικής δραστηριότητας ως ανωτέρω.</w:t>
      </w:r>
    </w:p>
    <w:p w:rsidR="00D21D4D" w:rsidRPr="00334E13" w:rsidRDefault="00D21D4D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334E13">
        <w:rPr>
          <w:b/>
        </w:rPr>
        <w:t xml:space="preserve">Επενδυτική πρόταση αποξήρανσης και συσκευασίας αρωματικών και φαρμακευτικών φυτών και δημιουργία αποσταγμάτων και αιθέριων ελαίων είναι επιλέξιμη δραστηριότητα; </w:t>
      </w:r>
    </w:p>
    <w:p w:rsidR="00F521B8" w:rsidRPr="00626760" w:rsidRDefault="00F521B8" w:rsidP="00913739">
      <w:pPr>
        <w:ind w:left="360"/>
        <w:jc w:val="both"/>
      </w:pPr>
      <w:r w:rsidRPr="00F521B8">
        <w:rPr>
          <w:u w:val="single"/>
        </w:rPr>
        <w:t>ΑΠΑΝΤΗΣΗ</w:t>
      </w:r>
      <w:r>
        <w:t>:</w:t>
      </w:r>
      <w:r w:rsidR="00626760">
        <w:t xml:space="preserve"> επενδυτική πρόταση αποξήρανσης και συσκευασίας αρωματικών φυτών κατατάσσεται στη δράση </w:t>
      </w:r>
      <w:r w:rsidR="00626760">
        <w:rPr>
          <w:lang w:val="en-US"/>
        </w:rPr>
        <w:t>L</w:t>
      </w:r>
      <w:r w:rsidR="00626760">
        <w:t xml:space="preserve">123α στον τομέα 13 και ποσοστό επιδότησης 50% και ανώτερο προϋπολογισμό 500.000 ευρώ. Επενδυτική πρόταση για τη παραγωγή αποσταγμάτων ή αιθέριων ελαίων </w:t>
      </w:r>
      <w:r w:rsidR="00626760" w:rsidRPr="00626760">
        <w:t>κατατάσσεται στη δράση L</w:t>
      </w:r>
      <w:r w:rsidR="00626760">
        <w:t>312-3</w:t>
      </w:r>
      <w:r w:rsidR="00626760" w:rsidRPr="00626760">
        <w:t xml:space="preserve"> και ποσοστό επιδότησης </w:t>
      </w:r>
      <w:r w:rsidR="00626760">
        <w:t>60% και ανώτερο προϋπολογισμό 3</w:t>
      </w:r>
      <w:r w:rsidR="00626760" w:rsidRPr="00626760">
        <w:t>00.000 ευρώ.</w:t>
      </w:r>
      <w:r w:rsidR="00626760">
        <w:t xml:space="preserve"> Στην ανωτέρω περίπτωση η πρόταση θα καταταχθεί εκεί όπου είναι η μεγαλύτερη χρηματοδοτική βαρύτητα</w:t>
      </w:r>
      <w:r w:rsidR="00B72CE7">
        <w:t>.</w:t>
      </w:r>
      <w:r w:rsidR="00626760">
        <w:t xml:space="preserve"> </w:t>
      </w:r>
      <w:r w:rsidR="00B72CE7">
        <w:t>Π.χ. στην περίπτωση που η χρηματοδοτική βαρύτητα είναι μεγαλύτερη στο κομμάτι της παραγωγής των αποσταγμάτων και αιθέριων ελαίων ολόκληρη η επενδυτική πρόταση θα επιδοτηθεί με 60% και μέγιστο συνολικό προϋπολογισμό τις 300.000 ευρώ.</w:t>
      </w:r>
      <w:r w:rsidR="00626760">
        <w:t xml:space="preserve"> </w:t>
      </w:r>
      <w:r w:rsidR="00B72CE7">
        <w:t>σε τέτοιου είδους επενδύσεις προσοχή θα πρέπει να δοθεί στην εξασφάλιση όλων των αιτούμενων αδειών για την εξασφάλιση της νομιμότητας λειτουργίας της επιχείρησης κατά την ολοκλήρωσή της.</w:t>
      </w:r>
    </w:p>
    <w:p w:rsidR="00A475AF" w:rsidRPr="00F713A3" w:rsidRDefault="00A475AF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F713A3">
        <w:rPr>
          <w:b/>
        </w:rPr>
        <w:t xml:space="preserve">Θεατρικό εργαστήρι στα πλαίσια της δράσης </w:t>
      </w:r>
      <w:r w:rsidRPr="00F713A3">
        <w:rPr>
          <w:b/>
          <w:lang w:val="en-US"/>
        </w:rPr>
        <w:t>L</w:t>
      </w:r>
      <w:r w:rsidRPr="00F713A3">
        <w:rPr>
          <w:b/>
        </w:rPr>
        <w:t xml:space="preserve">312-2 μπορεί να επιδοτηθεί; </w:t>
      </w:r>
    </w:p>
    <w:p w:rsidR="009A2BC1" w:rsidRPr="009A2BC1" w:rsidRDefault="009A2BC1" w:rsidP="00913739">
      <w:pPr>
        <w:ind w:left="360"/>
        <w:jc w:val="both"/>
      </w:pPr>
      <w:r w:rsidRPr="00F713A3">
        <w:rPr>
          <w:u w:val="single"/>
        </w:rPr>
        <w:t>ΑΠΑΝΤΗΣΗ</w:t>
      </w:r>
      <w:r>
        <w:t xml:space="preserve">: ναι μπορεί στα πλαίσια της δράσης </w:t>
      </w:r>
      <w:r>
        <w:rPr>
          <w:lang w:val="en-US"/>
        </w:rPr>
        <w:t>L</w:t>
      </w:r>
      <w:r w:rsidR="00F713A3" w:rsidRPr="00F713A3">
        <w:t>312-2.</w:t>
      </w:r>
    </w:p>
    <w:p w:rsidR="00901386" w:rsidRPr="00C350F4" w:rsidRDefault="00901386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C350F4">
        <w:rPr>
          <w:b/>
        </w:rPr>
        <w:t xml:space="preserve">Στα πλαίσια της δράσης </w:t>
      </w:r>
      <w:r w:rsidRPr="00C350F4">
        <w:rPr>
          <w:b/>
          <w:lang w:val="en-US"/>
        </w:rPr>
        <w:t>L</w:t>
      </w:r>
      <w:r w:rsidRPr="00C350F4">
        <w:rPr>
          <w:b/>
        </w:rPr>
        <w:t xml:space="preserve">123α τομέας σπόρων και πολλαπλασιαστικού υλικού επιδοτούνται τα φυτώρια; Επιδοτείται η αγορά σπόρων και </w:t>
      </w:r>
      <w:r w:rsidR="00F713A3" w:rsidRPr="00C350F4">
        <w:rPr>
          <w:b/>
        </w:rPr>
        <w:t>δενδρυλλίων</w:t>
      </w:r>
      <w:r w:rsidRPr="00C350F4">
        <w:rPr>
          <w:b/>
        </w:rPr>
        <w:t xml:space="preserve"> για τη δημιουργία του φυτώριου;</w:t>
      </w:r>
    </w:p>
    <w:p w:rsidR="00F713A3" w:rsidRPr="00F713A3" w:rsidRDefault="00F713A3" w:rsidP="00913739">
      <w:pPr>
        <w:ind w:left="360"/>
        <w:jc w:val="both"/>
      </w:pPr>
      <w:r w:rsidRPr="00F713A3">
        <w:rPr>
          <w:u w:val="single"/>
        </w:rPr>
        <w:t>ΑΠΑΝΤΗΣΗ</w:t>
      </w:r>
      <w:r>
        <w:t xml:space="preserve">: Όχι δεν είναι επιλέξιμη η αγορά σπόρων ή δενδρυλλίων ούτε η δημιουργία φυτώριου. Στα πλαίσια του συγκεκριμένου τομέα της δράσης </w:t>
      </w:r>
      <w:r>
        <w:rPr>
          <w:lang w:val="en-US"/>
        </w:rPr>
        <w:t>L</w:t>
      </w:r>
      <w:r>
        <w:t>1</w:t>
      </w:r>
      <w:r w:rsidR="00913739">
        <w:t>2</w:t>
      </w:r>
      <w:r>
        <w:t xml:space="preserve">3α </w:t>
      </w:r>
      <w:r w:rsidR="00C350F4">
        <w:t xml:space="preserve">στον τομέα των σπόρων μπορεί να δικαιολογηθεί η </w:t>
      </w:r>
      <w:proofErr w:type="spellStart"/>
      <w:r w:rsidR="00C350F4">
        <w:t>σποροδιαλογή</w:t>
      </w:r>
      <w:proofErr w:type="spellEnd"/>
      <w:r w:rsidR="00C350F4">
        <w:t>, καθαρισμός, συσκευασία και αποθήκευσή τους ενώ στην περίπτωση του πολλαπλασιαστικού υλικού π.χ. η συσκευασία τους όπως η τοποθέτηση ενός δενδρυλλίου σε σακουλάκι εμπορεύσιμης μορφής.</w:t>
      </w:r>
    </w:p>
    <w:p w:rsidR="00BA5342" w:rsidRPr="00C350F4" w:rsidRDefault="00BA5342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C350F4">
        <w:rPr>
          <w:b/>
        </w:rPr>
        <w:t xml:space="preserve">Στα πλαίσια της δράσης L123α τομέας κρέας θα μπορούσε π.χ. ένας κρεοπώλης να </w:t>
      </w:r>
      <w:r w:rsidR="00C350F4" w:rsidRPr="00C350F4">
        <w:rPr>
          <w:b/>
        </w:rPr>
        <w:t>ιδρύσ</w:t>
      </w:r>
      <w:r w:rsidR="00C350F4">
        <w:rPr>
          <w:b/>
        </w:rPr>
        <w:t>ει</w:t>
      </w:r>
      <w:r w:rsidRPr="00C350F4">
        <w:rPr>
          <w:b/>
        </w:rPr>
        <w:t xml:space="preserve"> και μονάδα τεμαχισμού και τυποποίησης του κρέατος; (να παρασκευάζει λουκάνικα, να τυποποιεί κρέας κλπ).</w:t>
      </w:r>
    </w:p>
    <w:p w:rsidR="00BA5342" w:rsidRDefault="00C350F4" w:rsidP="00913739">
      <w:pPr>
        <w:ind w:left="360"/>
        <w:jc w:val="both"/>
      </w:pPr>
      <w:r w:rsidRPr="00F521B8">
        <w:rPr>
          <w:u w:val="single"/>
        </w:rPr>
        <w:t>ΑΠΑΝΤΗΣΗ</w:t>
      </w:r>
      <w:r w:rsidRPr="00C350F4">
        <w:t>:</w:t>
      </w:r>
      <w:r>
        <w:t xml:space="preserve"> Ναι θα μπορούσε εφόσον το κομμάτι της </w:t>
      </w:r>
      <w:proofErr w:type="spellStart"/>
      <w:r>
        <w:t>αλλαντοποιείας</w:t>
      </w:r>
      <w:proofErr w:type="spellEnd"/>
      <w:r>
        <w:t xml:space="preserve"> θα έχει χαμηλότερη χρηματοδοτική βαρύτητα από το κομμάτι του τεμαχισμού-τυποποίησης κρέατος και </w:t>
      </w:r>
      <w:r w:rsidR="00F521B8">
        <w:t>παραγωγής</w:t>
      </w:r>
      <w:r>
        <w:t xml:space="preserve"> </w:t>
      </w:r>
      <w:proofErr w:type="spellStart"/>
      <w:r>
        <w:t>κρεατοσκευασμάτων</w:t>
      </w:r>
      <w:proofErr w:type="spellEnd"/>
      <w:r>
        <w:t xml:space="preserve">. </w:t>
      </w:r>
      <w:r w:rsidR="00F521B8">
        <w:t>Όπως και στην περίπτωση των τυροκομείων ανωτέρω</w:t>
      </w:r>
      <w:r w:rsidR="00913739">
        <w:t>,</w:t>
      </w:r>
      <w:r w:rsidR="00F521B8">
        <w:t xml:space="preserve"> για την ίδρυση της μεταποιητικής μονάδας θα πρέπει να εξασφαλίζεται η επάρκεια κρέατος με αντίστοιχα στοιχεία </w:t>
      </w:r>
      <w:r w:rsidR="00F521B8" w:rsidRPr="00F521B8">
        <w:t>της Δ/</w:t>
      </w:r>
      <w:proofErr w:type="spellStart"/>
      <w:r w:rsidR="00F521B8" w:rsidRPr="00F521B8">
        <w:t>νσης</w:t>
      </w:r>
      <w:proofErr w:type="spellEnd"/>
      <w:r w:rsidR="00F521B8" w:rsidRPr="00F521B8">
        <w:t xml:space="preserve"> Αγρο</w:t>
      </w:r>
      <w:r w:rsidR="00F521B8">
        <w:t>τικής Ανάπτυξης της Περιφέρειας.</w:t>
      </w:r>
    </w:p>
    <w:p w:rsidR="00B72CE7" w:rsidRDefault="00B72CE7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B72CE7">
        <w:rPr>
          <w:b/>
        </w:rPr>
        <w:t>Σ</w:t>
      </w:r>
      <w:r>
        <w:rPr>
          <w:b/>
        </w:rPr>
        <w:t>χετικά</w:t>
      </w:r>
      <w:r w:rsidRPr="00B72CE7">
        <w:rPr>
          <w:b/>
        </w:rPr>
        <w:t xml:space="preserve"> με ερωτήματα που αφορούν επενδύσεις (ιδρύσεις, επεκτάσεις,  εκσυγχρονισμούς) θαλάσσιου τουρισμού και θαλάσσιων σπορ, με την προμήθεια εξοπλισμού θαλασσίων σπορ και μ</w:t>
      </w:r>
      <w:r w:rsidR="00913739">
        <w:rPr>
          <w:b/>
        </w:rPr>
        <w:t>ηχανοκίνητων σκαφών, θα θέλαμε ν</w:t>
      </w:r>
      <w:r w:rsidRPr="00B72CE7">
        <w:rPr>
          <w:b/>
        </w:rPr>
        <w:t xml:space="preserve">α διευκρινίσουμε τα εξής:  </w:t>
      </w:r>
    </w:p>
    <w:p w:rsidR="00B72CE7" w:rsidRPr="00B72CE7" w:rsidRDefault="00B72CE7" w:rsidP="00913739">
      <w:pPr>
        <w:ind w:left="360"/>
        <w:jc w:val="both"/>
      </w:pPr>
      <w:r w:rsidRPr="00B72CE7">
        <w:t>•</w:t>
      </w:r>
      <w:r w:rsidRPr="00B72CE7">
        <w:tab/>
        <w:t>Οι συγκεκριμένες δραστηριότητες είναι επιλέξιμες στα πλαίσια των δράσεων L311-4 και L313-8 που αφορούν «Ιδρύσεις, επεκτάσεις, εκσυγχρονισμοί επιχειρήσεων παροχής υπηρεσιών για την εξυπηρέτηση του τουρισμού της υπαίθρου (εναλλακτικές μορφές τουρισμού, ειδικές μορφές τουρισμού, χώροι αθλοπαιδιών,  χώροι γευσιγνωσίας)».</w:t>
      </w:r>
    </w:p>
    <w:p w:rsidR="00B72CE7" w:rsidRPr="00B72CE7" w:rsidRDefault="00B72CE7" w:rsidP="00913739">
      <w:pPr>
        <w:ind w:left="360"/>
        <w:jc w:val="both"/>
      </w:pPr>
      <w:r w:rsidRPr="00B72CE7">
        <w:t>•</w:t>
      </w:r>
      <w:r w:rsidRPr="00B72CE7">
        <w:tab/>
        <w:t xml:space="preserve">Η έδρα της συγκεκριμένης επένδυσης θα πρέπει να βρίσκεται στην περιοχή παρέμβασης του Τοπικού Προγράμματος και ο εξοπλισμός να χρησιμοποιηθεί μόνο για δραστηριότητες που λαμβάνουν χώρα στην περιοχή παρέμβασης του Τοπικού Προγράμματος. </w:t>
      </w:r>
    </w:p>
    <w:p w:rsidR="00B72CE7" w:rsidRPr="00B72CE7" w:rsidRDefault="00B72CE7" w:rsidP="00913739">
      <w:pPr>
        <w:ind w:left="360"/>
        <w:jc w:val="both"/>
      </w:pPr>
      <w:r w:rsidRPr="00B72CE7">
        <w:t>•</w:t>
      </w:r>
      <w:r w:rsidRPr="00B72CE7">
        <w:tab/>
        <w:t xml:space="preserve">Απαιτείται η ύπαρξη χώρου αποθήκευσης του εξοπλισμού εντός της περιοχής παρέμβασης και σύμφωνα με τα όσα προβλέπονται στο Κριτήριο </w:t>
      </w:r>
      <w:proofErr w:type="spellStart"/>
      <w:r w:rsidRPr="00B72CE7">
        <w:t>Επιλεξιμότητας</w:t>
      </w:r>
      <w:proofErr w:type="spellEnd"/>
      <w:r w:rsidRPr="00B72CE7">
        <w:t xml:space="preserve"> 2.5: «Στοιχεία που αποδεικνύουν την κατοχή ή την χρήση του ακινήτου, στο οποίο προβλέπεται η υλοποίηση της πρότασης».</w:t>
      </w:r>
    </w:p>
    <w:p w:rsidR="00B72CE7" w:rsidRPr="00B72CE7" w:rsidRDefault="00B72CE7" w:rsidP="00913739">
      <w:pPr>
        <w:ind w:left="360"/>
        <w:jc w:val="both"/>
      </w:pPr>
      <w:r w:rsidRPr="00B72CE7">
        <w:t>•</w:t>
      </w:r>
      <w:r w:rsidRPr="00B72CE7">
        <w:tab/>
        <w:t xml:space="preserve">Σύμφωνα με τις επιλέξιμες δαπάνες επιτρέπεται η αγορά παραδοσιακών ξύλινων σκαφών, λοιπών σκαφών μόνο για τις περιπτώσεις επιχειρήσεων καταδυτικού τουρισμού. Ως εκ τούτου τα μηχανοκίνητα σκάφη για θαλάσσια σπορ και τα τζετ σκι δεν αποτελούν επιλέξιμες δαπάνες. </w:t>
      </w:r>
    </w:p>
    <w:p w:rsidR="00B72CE7" w:rsidRPr="00B72CE7" w:rsidRDefault="009C5DE6" w:rsidP="00913739">
      <w:pPr>
        <w:ind w:left="360"/>
        <w:jc w:val="both"/>
      </w:pPr>
      <w:r>
        <w:t>•</w:t>
      </w:r>
      <w:r>
        <w:tab/>
        <w:t>Σε περίπτωση που ζητηθεί η</w:t>
      </w:r>
      <w:r w:rsidR="00B72CE7" w:rsidRPr="00B72CE7">
        <w:t xml:space="preserve"> αγορά εξοπλισμού που συνδέεται με μηχανοκίνητα σκάφη, όπως πχ. πέδιλα θαλάσσιου σκι, εξοπλισμός για </w:t>
      </w:r>
      <w:proofErr w:type="spellStart"/>
      <w:r w:rsidR="00B72CE7" w:rsidRPr="00B72CE7">
        <w:t>parasailing</w:t>
      </w:r>
      <w:proofErr w:type="spellEnd"/>
      <w:r w:rsidR="00B72CE7" w:rsidRPr="00B72CE7">
        <w:t xml:space="preserve"> (αλεξίπτωτα), θα πρέπει να εξασφαλιστεί η αγορά ή η κατοχή μηχανοκίνητων σκαφών και να κατατεθούν οι άδειες κυκλοφορίας αυτών στην ΟΤΔ της «ΗΠΕΙΡΟΣ ΑΕ». </w:t>
      </w:r>
    </w:p>
    <w:p w:rsidR="00B72CE7" w:rsidRPr="00B72CE7" w:rsidRDefault="00B72CE7" w:rsidP="00913739">
      <w:pPr>
        <w:ind w:left="360"/>
        <w:jc w:val="both"/>
      </w:pPr>
      <w:r w:rsidRPr="00B72CE7">
        <w:t>•</w:t>
      </w:r>
      <w:r w:rsidRPr="00B72CE7">
        <w:tab/>
        <w:t>Φουσκωτά σκάφη οποιουδήποτε μεγέθους αποτελούν επιλέξιμες δαπάνες, εφόσον δεν έχουν μηχανή.</w:t>
      </w:r>
    </w:p>
    <w:p w:rsidR="00B72CE7" w:rsidRPr="00B72CE7" w:rsidRDefault="00B72CE7" w:rsidP="00913739">
      <w:pPr>
        <w:ind w:left="360"/>
        <w:jc w:val="both"/>
      </w:pPr>
      <w:r w:rsidRPr="00B72CE7">
        <w:t>•</w:t>
      </w:r>
      <w:r w:rsidRPr="00B72CE7">
        <w:tab/>
        <w:t>Σε περίπτωση προμήθειας ειδικού εξοπλισμού, όπως π.χ. καταδυτικού δεσμεύεται ο υποψήφιος επενδυτής για την πρόσληψη ανάλογου εκπαιδευτή.</w:t>
      </w:r>
    </w:p>
    <w:p w:rsidR="00B72CE7" w:rsidRDefault="00B72CE7" w:rsidP="00913739">
      <w:pPr>
        <w:ind w:left="360"/>
        <w:jc w:val="both"/>
      </w:pPr>
      <w:r w:rsidRPr="00B72CE7">
        <w:t>•</w:t>
      </w:r>
      <w:r w:rsidRPr="00B72CE7">
        <w:tab/>
        <w:t>Η νομιμότητα λειτουργίας επιχειρήσεων αυτού του τύπου ανάγεται στο αρμόδιο λιμεναρχείο και θα πρέπει να ακολουθεί την ισχύουσα νομοθεσία.</w:t>
      </w:r>
    </w:p>
    <w:p w:rsidR="00B72CE7" w:rsidRDefault="00B72CE7" w:rsidP="00207670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B72CE7">
        <w:rPr>
          <w:b/>
        </w:rPr>
        <w:t xml:space="preserve">Σχετικά με ερωτήματα που αφορούν </w:t>
      </w:r>
      <w:r>
        <w:rPr>
          <w:b/>
        </w:rPr>
        <w:t>εκσυγχρονισμούς θα θέλαμε να</w:t>
      </w:r>
      <w:r w:rsidRPr="00B72CE7">
        <w:rPr>
          <w:b/>
        </w:rPr>
        <w:t xml:space="preserve"> διευκρινίσουμε τα εξής:  </w:t>
      </w:r>
    </w:p>
    <w:p w:rsidR="00B72CE7" w:rsidRPr="00B72CE7" w:rsidRDefault="00B72CE7" w:rsidP="00913739">
      <w:pPr>
        <w:ind w:left="360"/>
        <w:jc w:val="both"/>
      </w:pPr>
      <w:r w:rsidRPr="00B72CE7">
        <w:t xml:space="preserve">Σε </w:t>
      </w:r>
      <w:r w:rsidR="00C67DE9">
        <w:t xml:space="preserve">περίπτωση εκσυγχρονισμού </w:t>
      </w:r>
      <w:r w:rsidR="00094591">
        <w:t>έργων</w:t>
      </w:r>
      <w:r w:rsidRPr="00B72CE7">
        <w:t xml:space="preserve"> ιδιωτικού χαρακτήρα δαπάνες που αφορούν μόνο την μελέτη και εγκατάσταση συστήματος διασφάλισης ποιότητας ή μόνο την προώθηση – προβολή της επιχείρησης ή μόνο τη διαμόρφωση περιβάλλοντος χώρου δεν νοούνται από μόνες τους ως εκσυγχρονισμός (ολοκληρωμένο φυσικό αντικείμενο) και οι προτάσεις θα απορρίπτονται.  </w:t>
      </w:r>
    </w:p>
    <w:sectPr w:rsidR="00B72CE7" w:rsidRPr="00B72CE7" w:rsidSect="00D35E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8D4"/>
    <w:multiLevelType w:val="hybridMultilevel"/>
    <w:tmpl w:val="8048D2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F0D"/>
    <w:multiLevelType w:val="hybridMultilevel"/>
    <w:tmpl w:val="6B88C82E"/>
    <w:lvl w:ilvl="0" w:tplc="7CE4B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E4ACD"/>
    <w:rsid w:val="00094591"/>
    <w:rsid w:val="001110F2"/>
    <w:rsid w:val="001536ED"/>
    <w:rsid w:val="001715C0"/>
    <w:rsid w:val="001E4ACD"/>
    <w:rsid w:val="00207670"/>
    <w:rsid w:val="00316602"/>
    <w:rsid w:val="00321129"/>
    <w:rsid w:val="00334E13"/>
    <w:rsid w:val="00350BF0"/>
    <w:rsid w:val="003C7FAF"/>
    <w:rsid w:val="003D6EF6"/>
    <w:rsid w:val="00402E74"/>
    <w:rsid w:val="00445BD1"/>
    <w:rsid w:val="004E09FD"/>
    <w:rsid w:val="00504992"/>
    <w:rsid w:val="00505DFA"/>
    <w:rsid w:val="005A2469"/>
    <w:rsid w:val="00626760"/>
    <w:rsid w:val="006531F7"/>
    <w:rsid w:val="008109D8"/>
    <w:rsid w:val="00844050"/>
    <w:rsid w:val="008C17BA"/>
    <w:rsid w:val="00901386"/>
    <w:rsid w:val="00904961"/>
    <w:rsid w:val="00913739"/>
    <w:rsid w:val="0098060F"/>
    <w:rsid w:val="009A2BC1"/>
    <w:rsid w:val="009C5DE6"/>
    <w:rsid w:val="009E480F"/>
    <w:rsid w:val="00A475AF"/>
    <w:rsid w:val="00AA418C"/>
    <w:rsid w:val="00B72CE7"/>
    <w:rsid w:val="00BA5342"/>
    <w:rsid w:val="00BB5361"/>
    <w:rsid w:val="00C350F4"/>
    <w:rsid w:val="00C67DE9"/>
    <w:rsid w:val="00CA2679"/>
    <w:rsid w:val="00D21D4D"/>
    <w:rsid w:val="00D35E0F"/>
    <w:rsid w:val="00D43CB7"/>
    <w:rsid w:val="00E32933"/>
    <w:rsid w:val="00EB6B98"/>
    <w:rsid w:val="00F112BF"/>
    <w:rsid w:val="00F244B9"/>
    <w:rsid w:val="00F521B8"/>
    <w:rsid w:val="00F60C37"/>
    <w:rsid w:val="00F713A3"/>
    <w:rsid w:val="00F8494D"/>
    <w:rsid w:val="00FB39BB"/>
    <w:rsid w:val="00FF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0C"/>
    <w:pPr>
      <w:ind w:left="720"/>
      <w:contextualSpacing/>
    </w:pPr>
  </w:style>
  <w:style w:type="paragraph" w:customStyle="1" w:styleId="CharChar1CharCharChar">
    <w:name w:val="Char Char1 Char Char Char"/>
    <w:basedOn w:val="a"/>
    <w:rsid w:val="009E480F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9E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4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0C"/>
    <w:pPr>
      <w:ind w:left="720"/>
      <w:contextualSpacing/>
    </w:pPr>
  </w:style>
  <w:style w:type="paragraph" w:customStyle="1" w:styleId="CharChar1CharCharChar">
    <w:name w:val="Char Char1 Char Char Char"/>
    <w:basedOn w:val="a"/>
    <w:rsid w:val="009E480F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9E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4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1697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2014-03-13T11:12:00Z</dcterms:created>
  <dcterms:modified xsi:type="dcterms:W3CDTF">2014-03-13T11:12:00Z</dcterms:modified>
</cp:coreProperties>
</file>